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t>Зарегистрировано</w:t>
      </w:r>
    </w:p>
    <w:p w:rsidR="00F664B5" w:rsidRPr="00FE57D2" w:rsidRDefault="00F664B5" w:rsidP="00F664B5">
      <w:pPr>
        <w:ind w:firstLine="6662"/>
        <w:rPr>
          <w:bCs/>
        </w:rPr>
      </w:pPr>
      <w:r w:rsidRPr="00FE57D2">
        <w:rPr>
          <w:bCs/>
        </w:rPr>
        <w:t>«___»__________20</w:t>
      </w:r>
      <w:r w:rsidR="0045360F">
        <w:rPr>
          <w:bCs/>
        </w:rPr>
        <w:t xml:space="preserve">16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45360F" w:rsidP="00F664B5">
      <w:pPr>
        <w:jc w:val="center"/>
        <w:rPr>
          <w:sz w:val="28"/>
          <w:szCs w:val="28"/>
        </w:rPr>
      </w:pPr>
      <w:r>
        <w:rPr>
          <w:sz w:val="28"/>
          <w:szCs w:val="28"/>
        </w:rPr>
        <w:t>БЕЛГОРОД  2016</w:t>
      </w:r>
    </w:p>
    <w:p w:rsidR="00F664B5" w:rsidRPr="00FE57D2" w:rsidRDefault="00F664B5" w:rsidP="00F664B5">
      <w:pPr>
        <w:ind w:firstLine="6663"/>
        <w:jc w:val="center"/>
        <w:rPr>
          <w:bCs/>
        </w:rPr>
      </w:pPr>
      <w:r>
        <w:rPr>
          <w:bCs/>
        </w:rPr>
        <w:br w:type="page"/>
      </w:r>
      <w:r w:rsidRPr="00FE57D2">
        <w:rPr>
          <w:bCs/>
        </w:rPr>
        <w:t>Зарегистрировано</w:t>
      </w:r>
    </w:p>
    <w:p w:rsidR="00F664B5" w:rsidRPr="00FE57D2" w:rsidRDefault="00F664B5" w:rsidP="00F664B5">
      <w:pPr>
        <w:ind w:firstLine="6663"/>
        <w:rPr>
          <w:bCs/>
        </w:rPr>
      </w:pPr>
      <w:r w:rsidRPr="00FE57D2">
        <w:rPr>
          <w:bCs/>
        </w:rPr>
        <w:t>«___»__________20</w:t>
      </w:r>
      <w:r w:rsidR="0045360F">
        <w:rPr>
          <w:bCs/>
        </w:rPr>
        <w:t>16</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0045360F">
        <w:rPr>
          <w:sz w:val="28"/>
          <w:szCs w:val="28"/>
        </w:rPr>
        <w:t>за</w:t>
      </w:r>
      <w:r w:rsidRPr="00FE57D2">
        <w:rPr>
          <w:sz w:val="28"/>
          <w:szCs w:val="28"/>
        </w:rPr>
        <w:t>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45360F" w:rsidP="00F664B5">
      <w:pPr>
        <w:jc w:val="center"/>
        <w:rPr>
          <w:sz w:val="28"/>
          <w:szCs w:val="28"/>
        </w:rPr>
      </w:pPr>
      <w:r>
        <w:rPr>
          <w:sz w:val="28"/>
          <w:szCs w:val="28"/>
        </w:rPr>
        <w:t>3</w:t>
      </w:r>
      <w:r w:rsidR="00F664B5" w:rsidRPr="00FE57D2">
        <w:rPr>
          <w:sz w:val="28"/>
          <w:szCs w:val="28"/>
        </w:rPr>
        <w:t xml:space="preserve"> курса группы </w:t>
      </w:r>
      <w:r w:rsidR="00520BF7">
        <w:rPr>
          <w:sz w:val="28"/>
          <w:szCs w:val="28"/>
        </w:rPr>
        <w:t>020</w:t>
      </w:r>
      <w:r>
        <w:rPr>
          <w:sz w:val="28"/>
          <w:szCs w:val="28"/>
        </w:rPr>
        <w:t>21351</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w:t>
            </w:r>
          </w:p>
          <w:p w:rsidR="00F664B5" w:rsidRPr="00FE57D2" w:rsidRDefault="00F664B5" w:rsidP="00520BF7">
            <w:pPr>
              <w:ind w:firstLine="2018"/>
              <w:rPr>
                <w:sz w:val="28"/>
                <w:szCs w:val="28"/>
              </w:rPr>
            </w:pP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4F" w:rsidRDefault="0055614F">
      <w:r>
        <w:separator/>
      </w:r>
    </w:p>
  </w:endnote>
  <w:endnote w:type="continuationSeparator" w:id="1">
    <w:p w:rsidR="0055614F" w:rsidRDefault="0055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1A60DE">
    <w:pPr>
      <w:pStyle w:val="a8"/>
      <w:jc w:val="center"/>
    </w:pPr>
    <w:r>
      <w:fldChar w:fldCharType="begin"/>
    </w:r>
    <w:r w:rsidR="000476CF">
      <w:instrText xml:space="preserve"> PAGE   \* MERGEFORMAT </w:instrText>
    </w:r>
    <w:r>
      <w:fldChar w:fldCharType="separate"/>
    </w:r>
    <w:r w:rsidR="006C2AE9">
      <w:rPr>
        <w:noProof/>
      </w:rPr>
      <w:t>1</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4F" w:rsidRDefault="0055614F">
      <w:r>
        <w:separator/>
      </w:r>
    </w:p>
  </w:footnote>
  <w:footnote w:type="continuationSeparator" w:id="1">
    <w:p w:rsidR="0055614F" w:rsidRDefault="00556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AED4ED5"/>
    <w:multiLevelType w:val="hybridMultilevel"/>
    <w:tmpl w:val="8C8413DE"/>
    <w:lvl w:ilvl="0" w:tplc="6BA06A0E">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9">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0">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3">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8"/>
  </w:num>
  <w:num w:numId="2">
    <w:abstractNumId w:val="9"/>
  </w:num>
  <w:num w:numId="3">
    <w:abstractNumId w:val="7"/>
  </w:num>
  <w:num w:numId="4">
    <w:abstractNumId w:val="13"/>
  </w:num>
  <w:num w:numId="5">
    <w:abstractNumId w:val="10"/>
  </w:num>
  <w:num w:numId="6">
    <w:abstractNumId w:val="4"/>
  </w:num>
  <w:num w:numId="7">
    <w:abstractNumId w:val="1"/>
  </w:num>
  <w:num w:numId="8">
    <w:abstractNumId w:val="3"/>
  </w:num>
  <w:num w:numId="9">
    <w:abstractNumId w:val="11"/>
  </w:num>
  <w:num w:numId="10">
    <w:abstractNumId w:val="12"/>
  </w:num>
  <w:num w:numId="11">
    <w:abstractNumId w:val="5"/>
  </w:num>
  <w:num w:numId="12">
    <w:abstractNumId w:val="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A60DE"/>
    <w:rsid w:val="001A6884"/>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5360F"/>
    <w:rsid w:val="004649CB"/>
    <w:rsid w:val="00482876"/>
    <w:rsid w:val="004D42D0"/>
    <w:rsid w:val="004E4E75"/>
    <w:rsid w:val="004F4868"/>
    <w:rsid w:val="00520BF7"/>
    <w:rsid w:val="005255DB"/>
    <w:rsid w:val="00540DFD"/>
    <w:rsid w:val="0054398B"/>
    <w:rsid w:val="00545FD1"/>
    <w:rsid w:val="0055614F"/>
    <w:rsid w:val="00573360"/>
    <w:rsid w:val="005A1E40"/>
    <w:rsid w:val="005A22AA"/>
    <w:rsid w:val="005C5492"/>
    <w:rsid w:val="005F72F0"/>
    <w:rsid w:val="00600AA9"/>
    <w:rsid w:val="00641B39"/>
    <w:rsid w:val="006428CC"/>
    <w:rsid w:val="006453BE"/>
    <w:rsid w:val="006A502A"/>
    <w:rsid w:val="006B3C58"/>
    <w:rsid w:val="006B476B"/>
    <w:rsid w:val="006B6323"/>
    <w:rsid w:val="006B7646"/>
    <w:rsid w:val="006C2AE9"/>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413BA"/>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2DAF"/>
    <w:rsid w:val="00F73BE7"/>
    <w:rsid w:val="00F830FC"/>
    <w:rsid w:val="00F867AA"/>
    <w:rsid w:val="00F950A7"/>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2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92A5-7522-427B-AC41-4D6AA7D7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2743</Words>
  <Characters>15638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17</cp:revision>
  <cp:lastPrinted>2010-10-21T06:48:00Z</cp:lastPrinted>
  <dcterms:created xsi:type="dcterms:W3CDTF">2013-02-24T14:20:00Z</dcterms:created>
  <dcterms:modified xsi:type="dcterms:W3CDTF">2016-07-18T08:21:00Z</dcterms:modified>
</cp:coreProperties>
</file>