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TimesNewRomanCyr,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 xml:space="preserve">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>ция; при этом рекомендуется использовать данные официальных сайтов гос</w:t>
      </w:r>
      <w:r w:rsidR="00AD7D21" w:rsidRPr="00CE0022">
        <w:rPr>
          <w:color w:val="000000" w:themeColor="text1"/>
          <w:szCs w:val="28"/>
        </w:rPr>
        <w:t>у</w:t>
      </w:r>
      <w:r w:rsidR="00AD7D21" w:rsidRPr="00CE0022">
        <w:rPr>
          <w:color w:val="000000" w:themeColor="text1"/>
          <w:szCs w:val="28"/>
        </w:rPr>
        <w:t>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</w:t>
      </w:r>
      <w:r w:rsidR="00AD7D21" w:rsidRPr="00CE0022">
        <w:rPr>
          <w:color w:val="000000" w:themeColor="text1"/>
          <w:szCs w:val="28"/>
        </w:rPr>
        <w:t>р</w:t>
      </w:r>
      <w:r w:rsidR="00AD7D21" w:rsidRPr="00CE0022">
        <w:rPr>
          <w:color w:val="000000" w:themeColor="text1"/>
          <w:szCs w:val="28"/>
        </w:rPr>
        <w:t xml:space="preserve">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</w:t>
      </w:r>
      <w:r w:rsidRPr="00F13522">
        <w:rPr>
          <w:szCs w:val="28"/>
        </w:rPr>
        <w:t>о</w:t>
      </w:r>
      <w:r w:rsidRPr="00F13522">
        <w:rPr>
          <w:szCs w:val="28"/>
        </w:rPr>
        <w:t>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– приложения оформляются как продолжение курсовой работы и расп</w:t>
      </w:r>
      <w:r w:rsidRPr="00F13522">
        <w:rPr>
          <w:szCs w:val="28"/>
        </w:rPr>
        <w:t>о</w:t>
      </w:r>
      <w:r w:rsidRPr="00F13522">
        <w:rPr>
          <w:szCs w:val="28"/>
        </w:rPr>
        <w:t>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</w:t>
      </w:r>
      <w:r w:rsidRPr="00F13522">
        <w:rPr>
          <w:szCs w:val="28"/>
        </w:rPr>
        <w:t>с</w:t>
      </w:r>
      <w:r w:rsidRPr="00F13522">
        <w:rPr>
          <w:szCs w:val="28"/>
        </w:rPr>
        <w:t>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</w:t>
      </w:r>
      <w:r w:rsidRPr="00F13522">
        <w:rPr>
          <w:szCs w:val="28"/>
        </w:rPr>
        <w:t>у</w:t>
      </w:r>
      <w:r w:rsidRPr="00F13522">
        <w:rPr>
          <w:szCs w:val="28"/>
        </w:rPr>
        <w:t>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lastRenderedPageBreak/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</w:t>
      </w:r>
      <w:r w:rsidR="00932932">
        <w:rPr>
          <w:spacing w:val="-2"/>
          <w:szCs w:val="28"/>
        </w:rPr>
        <w:t>е</w:t>
      </w:r>
      <w:r w:rsidR="00932932">
        <w:rPr>
          <w:spacing w:val="-2"/>
          <w:szCs w:val="28"/>
        </w:rPr>
        <w:t xml:space="preserve">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</w:t>
      </w:r>
      <w:r w:rsidRPr="00B77505">
        <w:rPr>
          <w:spacing w:val="-2"/>
          <w:szCs w:val="28"/>
        </w:rPr>
        <w:t>е</w:t>
      </w:r>
      <w:r w:rsidRPr="00B77505">
        <w:rPr>
          <w:spacing w:val="-2"/>
          <w:szCs w:val="28"/>
        </w:rPr>
        <w:t>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</w:t>
      </w:r>
      <w:r w:rsidRPr="00F13522">
        <w:rPr>
          <w:spacing w:val="-2"/>
          <w:szCs w:val="28"/>
        </w:rPr>
        <w:t>с</w:t>
      </w:r>
      <w:r w:rsidRPr="00F13522">
        <w:rPr>
          <w:spacing w:val="-2"/>
          <w:szCs w:val="28"/>
        </w:rPr>
        <w:t>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>По каждому использованному источнику должна быть полная информ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го числа принят, номер, дата последней редакции, где был опубликован, в к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>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Правительстве Российской Федерации: Федеральный конституц</w:t>
      </w:r>
      <w:r w:rsidRPr="00F13522">
        <w:rPr>
          <w:b/>
          <w:szCs w:val="28"/>
        </w:rPr>
        <w:t>и</w:t>
      </w:r>
      <w:r w:rsidRPr="00F13522">
        <w:rPr>
          <w:b/>
          <w:szCs w:val="28"/>
        </w:rPr>
        <w:t>онный закон от 17.12.1997 № 2-ФКЗ (ред. от 28.12.2010) // Собрание закон</w:t>
      </w:r>
      <w:r w:rsidRPr="00F13522">
        <w:rPr>
          <w:b/>
          <w:szCs w:val="28"/>
        </w:rPr>
        <w:t>о</w:t>
      </w:r>
      <w:r w:rsidRPr="00F13522">
        <w:rPr>
          <w:b/>
          <w:szCs w:val="28"/>
        </w:rPr>
        <w:t xml:space="preserve">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стандарте должны включать: обозначение и полное наимен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>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</w:t>
      </w:r>
      <w:r w:rsidRPr="00F13522">
        <w:rPr>
          <w:rFonts w:eastAsia="Calibri"/>
          <w:b/>
          <w:szCs w:val="28"/>
          <w:lang w:eastAsia="en-US"/>
        </w:rPr>
        <w:t>о</w:t>
      </w:r>
      <w:r w:rsidRPr="00F13522">
        <w:rPr>
          <w:rFonts w:eastAsia="Calibri"/>
          <w:b/>
          <w:szCs w:val="28"/>
          <w:lang w:eastAsia="en-US"/>
        </w:rPr>
        <w:t>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</w:t>
      </w:r>
      <w:r w:rsidRPr="00F13522">
        <w:rPr>
          <w:bCs/>
          <w:szCs w:val="28"/>
        </w:rPr>
        <w:t>ы</w:t>
      </w:r>
      <w:r w:rsidRPr="00F13522">
        <w:rPr>
          <w:bCs/>
          <w:szCs w:val="28"/>
        </w:rPr>
        <w:t>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судебных актах и иных актах правоприменительной практике оформляются в таком же порядке, как и сноски на данные акты (см. оформл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>Официальный веб-сайт Генеральной прокуратуры Российской Фед</w:t>
      </w:r>
      <w:r w:rsidRPr="00F13522">
        <w:rPr>
          <w:b/>
          <w:szCs w:val="28"/>
        </w:rPr>
        <w:t>е</w:t>
      </w:r>
      <w:r w:rsidRPr="00F13522">
        <w:rPr>
          <w:b/>
          <w:szCs w:val="28"/>
        </w:rPr>
        <w:t xml:space="preserve">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lastRenderedPageBreak/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</w:t>
      </w:r>
      <w:bookmarkStart w:id="0" w:name="_GoBack"/>
      <w:bookmarkEnd w:id="0"/>
      <w:r w:rsidRPr="00575965">
        <w:rPr>
          <w:b/>
          <w:szCs w:val="28"/>
        </w:rPr>
        <w:t xml:space="preserve">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</w:t>
            </w:r>
            <w:r w:rsidRPr="00A4164E">
              <w:rPr>
                <w:sz w:val="24"/>
              </w:rPr>
              <w:t>а</w:t>
            </w:r>
            <w:r w:rsidRPr="00A4164E">
              <w:rPr>
                <w:sz w:val="24"/>
              </w:rPr>
              <w:t>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lastRenderedPageBreak/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lastRenderedPageBreak/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</w:t>
      </w:r>
      <w:r w:rsidR="00837FBD">
        <w:rPr>
          <w:szCs w:val="28"/>
        </w:rPr>
        <w:t>к</w:t>
      </w:r>
      <w:r w:rsidR="00837FBD">
        <w:rPr>
          <w:szCs w:val="28"/>
        </w:rPr>
        <w:t>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>Устав Белгородской области: Закон Белгородской области от 31 д</w:t>
      </w:r>
      <w:r w:rsidRPr="007C3D05">
        <w:t>е</w:t>
      </w:r>
      <w:r w:rsidRPr="007C3D05">
        <w:t xml:space="preserve">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</w:t>
      </w:r>
      <w:r w:rsidRPr="007C3D05">
        <w:t>з</w:t>
      </w:r>
      <w:r w:rsidRPr="007C3D05">
        <w:t>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>Федеральный арбитражный суд Поволжского округа. Постановление касс</w:t>
      </w:r>
      <w:r w:rsidR="007E3CF6" w:rsidRPr="0023594A">
        <w:rPr>
          <w:sz w:val="28"/>
          <w:szCs w:val="28"/>
        </w:rPr>
        <w:t>а</w:t>
      </w:r>
      <w:r w:rsidR="007E3CF6" w:rsidRPr="0023594A">
        <w:rPr>
          <w:sz w:val="28"/>
          <w:szCs w:val="28"/>
        </w:rPr>
        <w:t>ционной инстанции по проверке законности и обоснованности решений (опр</w:t>
      </w:r>
      <w:r w:rsidR="007E3CF6" w:rsidRPr="0023594A">
        <w:rPr>
          <w:sz w:val="28"/>
          <w:szCs w:val="28"/>
        </w:rPr>
        <w:t>е</w:t>
      </w:r>
      <w:r w:rsidR="007E3CF6" w:rsidRPr="0023594A">
        <w:rPr>
          <w:sz w:val="28"/>
          <w:szCs w:val="28"/>
        </w:rPr>
        <w:t xml:space="preserve">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</w:t>
      </w:r>
      <w:r w:rsidRPr="007C3D05">
        <w:t>о</w:t>
      </w:r>
      <w:r w:rsidRPr="007C3D05">
        <w:t>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E0" w:rsidRDefault="005705E0" w:rsidP="005365AF">
      <w:r>
        <w:separator/>
      </w:r>
    </w:p>
  </w:endnote>
  <w:endnote w:type="continuationSeparator" w:id="1">
    <w:p w:rsidR="005705E0" w:rsidRDefault="005705E0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E0" w:rsidRDefault="005705E0" w:rsidP="005365AF">
      <w:r>
        <w:separator/>
      </w:r>
    </w:p>
  </w:footnote>
  <w:footnote w:type="continuationSeparator" w:id="1">
    <w:p w:rsidR="005705E0" w:rsidRDefault="005705E0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8C1FC6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6B2B24">
          <w:rPr>
            <w:noProof/>
            <w:sz w:val="22"/>
          </w:rPr>
          <w:t>17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05E0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2B24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8C1FC6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3C0-6F44-48E2-863C-990761B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433</TotalTime>
  <Pages>17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28</cp:revision>
  <cp:lastPrinted>2014-03-14T14:59:00Z</cp:lastPrinted>
  <dcterms:created xsi:type="dcterms:W3CDTF">2014-10-02T16:46:00Z</dcterms:created>
  <dcterms:modified xsi:type="dcterms:W3CDTF">2016-07-19T08:32:00Z</dcterms:modified>
</cp:coreProperties>
</file>