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>МИНИСТЕРСТВО ОБРАЗОВАНИЯ И НАУКИ РОССИЙСКОЙ ФЕДЕРАЦИИ</w:t>
      </w:r>
    </w:p>
    <w:p w:rsidR="00143758" w:rsidRPr="00143758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 xml:space="preserve">Федеральное государственное автономное образовательное учреждение </w:t>
      </w:r>
      <w:proofErr w:type="gramStart"/>
      <w:r w:rsidRPr="00037AC0">
        <w:rPr>
          <w:b/>
          <w:sz w:val="24"/>
        </w:rPr>
        <w:t>высшего</w:t>
      </w:r>
      <w:proofErr w:type="gramEnd"/>
      <w:r w:rsidR="006B32F4">
        <w:rPr>
          <w:b/>
          <w:sz w:val="24"/>
        </w:rPr>
        <w:t xml:space="preserve"> </w:t>
      </w:r>
      <w:r w:rsidRPr="00037AC0">
        <w:rPr>
          <w:b/>
          <w:sz w:val="24"/>
        </w:rPr>
        <w:t xml:space="preserve"> </w:t>
      </w:r>
    </w:p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 xml:space="preserve">профессионального образования </w:t>
      </w:r>
    </w:p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 xml:space="preserve">«Белгородский государственный национальный исследовательский университет» </w:t>
      </w:r>
    </w:p>
    <w:p w:rsidR="00210D93" w:rsidRDefault="00210D93" w:rsidP="00037AC0">
      <w:pPr>
        <w:ind w:firstLine="0"/>
        <w:jc w:val="center"/>
        <w:rPr>
          <w:b/>
        </w:rPr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D25D51" w:rsidP="00037AC0">
      <w:pPr>
        <w:ind w:firstLine="0"/>
        <w:jc w:val="center"/>
      </w:pPr>
      <w:r>
        <w:t>ЮРИДИЧЕСКИЙ ИНСТИТУТ</w:t>
      </w: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</w:pPr>
    </w:p>
    <w:p w:rsidR="00210D93" w:rsidRDefault="00210D93" w:rsidP="00037AC0">
      <w:pPr>
        <w:ind w:firstLine="0"/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E75BDD" w:rsidRDefault="0037059C" w:rsidP="00037AC0">
      <w:pPr>
        <w:ind w:firstLine="0"/>
        <w:jc w:val="center"/>
        <w:rPr>
          <w:b/>
          <w:szCs w:val="28"/>
        </w:rPr>
      </w:pPr>
      <w:r w:rsidRPr="0037059C">
        <w:rPr>
          <w:b/>
          <w:szCs w:val="28"/>
        </w:rPr>
        <w:t>МЕТОДИЧЕСКИЕ РЕКОМЕНДАЦИИ</w:t>
      </w:r>
    </w:p>
    <w:p w:rsidR="00D25D51" w:rsidRDefault="00D25D51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ПОДГОТОВКЕ И ЗАЩИТЕ КУРСОВЫХ РАБОТ ОБУЧАЮЩИХСЯ, ОСВАИВАЮЩИХ ОБРАЗОВАТЕЛЬНЫЕ ПРОГРАММЫ ВЫСШЕГО ПРОФЕССИОНАЛЬНОГО ОБРАЗОВАНИЯ ПО НАПРАВЛЕНИЮ </w:t>
      </w:r>
    </w:p>
    <w:p w:rsidR="00D25D51" w:rsidRPr="0037059C" w:rsidRDefault="00D25D51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>
        <w:rPr>
          <w:b/>
          <w:szCs w:val="28"/>
        </w:rPr>
        <w:t>Д</w:t>
      </w:r>
      <w:r>
        <w:rPr>
          <w:b/>
          <w:szCs w:val="28"/>
        </w:rPr>
        <w:t>ГОТОВКИ 030900 ЮРИСПРУДЕНЦИЯ</w:t>
      </w: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37059C" w:rsidRDefault="0037059C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Белгород,  201</w:t>
      </w:r>
      <w:r w:rsidR="00DC2F0F">
        <w:rPr>
          <w:b/>
          <w:szCs w:val="28"/>
        </w:rPr>
        <w:t>4</w:t>
      </w:r>
    </w:p>
    <w:p w:rsidR="00037AC0" w:rsidRPr="000D4B73" w:rsidRDefault="00210D93" w:rsidP="00037AC0">
      <w:pPr>
        <w:ind w:firstLine="0"/>
        <w:rPr>
          <w:szCs w:val="28"/>
        </w:rPr>
      </w:pPr>
      <w:r>
        <w:rPr>
          <w:b/>
        </w:rPr>
        <w:br w:type="page"/>
      </w:r>
      <w:r w:rsidR="00C21DD3" w:rsidRPr="009E201B">
        <w:rPr>
          <w:szCs w:val="28"/>
        </w:rPr>
        <w:lastRenderedPageBreak/>
        <w:t>Методические рекомендации подготовлены</w:t>
      </w:r>
      <w:r w:rsidR="00C21DD3">
        <w:rPr>
          <w:szCs w:val="28"/>
        </w:rPr>
        <w:t xml:space="preserve"> </w:t>
      </w:r>
      <w:r w:rsidRPr="0037059C">
        <w:rPr>
          <w:szCs w:val="28"/>
        </w:rPr>
        <w:t xml:space="preserve"> в соответствии с </w:t>
      </w:r>
      <w:r w:rsidR="00C21DD3">
        <w:rPr>
          <w:szCs w:val="28"/>
        </w:rPr>
        <w:t xml:space="preserve"> положением « О подготовке и защите курсовых работ (проектов)</w:t>
      </w:r>
      <w:r w:rsidR="006B32F4">
        <w:rPr>
          <w:szCs w:val="28"/>
        </w:rPr>
        <w:t xml:space="preserve">, </w:t>
      </w:r>
      <w:r w:rsidR="00FD22B5">
        <w:rPr>
          <w:szCs w:val="28"/>
        </w:rPr>
        <w:t>утвержденным приказом ре</w:t>
      </w:r>
      <w:r w:rsidR="00FD22B5">
        <w:rPr>
          <w:szCs w:val="28"/>
        </w:rPr>
        <w:t>к</w:t>
      </w:r>
      <w:r w:rsidR="00FD22B5">
        <w:rPr>
          <w:szCs w:val="28"/>
        </w:rPr>
        <w:t xml:space="preserve">тора </w:t>
      </w:r>
      <w:r w:rsidR="00C21DD3">
        <w:rPr>
          <w:szCs w:val="28"/>
        </w:rPr>
        <w:t>от 25.06.2014 г. № 537-ОД</w:t>
      </w:r>
      <w:r w:rsidR="00037AC0" w:rsidRPr="000D4B73">
        <w:rPr>
          <w:szCs w:val="28"/>
        </w:rPr>
        <w:t>.</w:t>
      </w:r>
    </w:p>
    <w:p w:rsidR="0037059C" w:rsidRPr="000D4B73" w:rsidRDefault="0037059C" w:rsidP="00931341">
      <w:pPr>
        <w:rPr>
          <w:szCs w:val="28"/>
        </w:rPr>
      </w:pPr>
    </w:p>
    <w:p w:rsidR="0037059C" w:rsidRPr="000D4B73" w:rsidRDefault="0037059C" w:rsidP="00931341">
      <w:pPr>
        <w:rPr>
          <w:szCs w:val="28"/>
        </w:rPr>
      </w:pPr>
      <w:r w:rsidRPr="000D4B73">
        <w:rPr>
          <w:szCs w:val="28"/>
        </w:rPr>
        <w:t>Автор:</w:t>
      </w:r>
      <w:r w:rsidR="00DC2F0F" w:rsidRPr="000D4B73">
        <w:rPr>
          <w:szCs w:val="28"/>
        </w:rPr>
        <w:t xml:space="preserve"> доцент кафедры</w:t>
      </w:r>
      <w:r w:rsidRPr="000D4B73">
        <w:rPr>
          <w:szCs w:val="28"/>
        </w:rPr>
        <w:t xml:space="preserve"> </w:t>
      </w:r>
      <w:r w:rsidR="00C21DD3">
        <w:rPr>
          <w:szCs w:val="28"/>
        </w:rPr>
        <w:t xml:space="preserve"> </w:t>
      </w:r>
      <w:r w:rsidR="00DC2F0F" w:rsidRPr="000D4B73">
        <w:rPr>
          <w:szCs w:val="28"/>
        </w:rPr>
        <w:t>гражданского права и процесса,</w:t>
      </w:r>
      <w:r w:rsidRPr="000D4B73">
        <w:rPr>
          <w:szCs w:val="28"/>
        </w:rPr>
        <w:t xml:space="preserve"> кандидат юр</w:t>
      </w:r>
      <w:r w:rsidRPr="000D4B73">
        <w:rPr>
          <w:szCs w:val="28"/>
        </w:rPr>
        <w:t>и</w:t>
      </w:r>
      <w:r w:rsidRPr="000D4B73">
        <w:rPr>
          <w:szCs w:val="28"/>
        </w:rPr>
        <w:t>дических наук, до</w:t>
      </w:r>
      <w:r w:rsidR="00DC2F0F" w:rsidRPr="000D4B73">
        <w:rPr>
          <w:szCs w:val="28"/>
        </w:rPr>
        <w:t xml:space="preserve">цент О.В. </w:t>
      </w:r>
      <w:proofErr w:type="spellStart"/>
      <w:r w:rsidR="00DC2F0F" w:rsidRPr="000D4B73">
        <w:rPr>
          <w:szCs w:val="28"/>
        </w:rPr>
        <w:t>Цуканов</w:t>
      </w:r>
      <w:proofErr w:type="spellEnd"/>
    </w:p>
    <w:p w:rsidR="00210D93" w:rsidRPr="000D4B73" w:rsidRDefault="00210D93" w:rsidP="00931341">
      <w:pPr>
        <w:rPr>
          <w:szCs w:val="28"/>
        </w:rPr>
      </w:pPr>
    </w:p>
    <w:p w:rsidR="00210D93" w:rsidRPr="00FD22B5" w:rsidRDefault="0037059C" w:rsidP="00931341">
      <w:pPr>
        <w:rPr>
          <w:szCs w:val="28"/>
        </w:rPr>
      </w:pPr>
      <w:r w:rsidRPr="000D4B73">
        <w:rPr>
          <w:szCs w:val="28"/>
        </w:rPr>
        <w:t>Методические рекомендации утверждены на заседании Ученого совета Юридического института НИУ «</w:t>
      </w:r>
      <w:proofErr w:type="spellStart"/>
      <w:r w:rsidRPr="000D4B73">
        <w:rPr>
          <w:szCs w:val="28"/>
        </w:rPr>
        <w:t>БелГУ</w:t>
      </w:r>
      <w:proofErr w:type="spellEnd"/>
      <w:r w:rsidRPr="000D4B73">
        <w:rPr>
          <w:szCs w:val="28"/>
        </w:rPr>
        <w:t>»</w:t>
      </w:r>
      <w:r w:rsidR="00931341" w:rsidRPr="000D4B73">
        <w:rPr>
          <w:szCs w:val="28"/>
        </w:rPr>
        <w:t xml:space="preserve"> </w:t>
      </w:r>
      <w:r w:rsidR="00931341" w:rsidRPr="00FD22B5">
        <w:rPr>
          <w:szCs w:val="28"/>
        </w:rPr>
        <w:t>(протокол №</w:t>
      </w:r>
      <w:r w:rsidR="00FD22B5" w:rsidRPr="00FD22B5">
        <w:rPr>
          <w:szCs w:val="28"/>
        </w:rPr>
        <w:t xml:space="preserve"> ____</w:t>
      </w:r>
      <w:r w:rsidR="00931341" w:rsidRPr="00FD22B5">
        <w:rPr>
          <w:szCs w:val="28"/>
        </w:rPr>
        <w:t xml:space="preserve"> от</w:t>
      </w:r>
      <w:r w:rsidR="00FD22B5" w:rsidRPr="00FD22B5">
        <w:rPr>
          <w:szCs w:val="28"/>
        </w:rPr>
        <w:t xml:space="preserve"> «__»_____ 2014 г.)</w:t>
      </w:r>
    </w:p>
    <w:p w:rsidR="00210D93" w:rsidRPr="00FD22B5" w:rsidRDefault="00210D93" w:rsidP="00931341">
      <w:pPr>
        <w:rPr>
          <w:szCs w:val="28"/>
        </w:rPr>
      </w:pPr>
    </w:p>
    <w:p w:rsidR="00931341" w:rsidRPr="000D4B73" w:rsidRDefault="00931341" w:rsidP="00931341">
      <w:pPr>
        <w:rPr>
          <w:szCs w:val="28"/>
        </w:rPr>
      </w:pPr>
    </w:p>
    <w:p w:rsidR="009109A4" w:rsidRPr="006B32F4" w:rsidRDefault="00931341" w:rsidP="006B32F4">
      <w:pPr>
        <w:spacing w:after="200" w:line="276" w:lineRule="auto"/>
        <w:rPr>
          <w:szCs w:val="28"/>
        </w:rPr>
      </w:pPr>
      <w:r w:rsidRPr="000D4B73">
        <w:rPr>
          <w:szCs w:val="28"/>
        </w:rPr>
        <w:br w:type="page"/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lastRenderedPageBreak/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 xml:space="preserve">ПО  ПОДГОТОВКЕ И ВЫПОЛНЕНИЮ </w:t>
      </w:r>
      <w:proofErr w:type="gramStart"/>
      <w:r w:rsidRPr="000D4B73">
        <w:rPr>
          <w:b/>
          <w:color w:val="000000"/>
          <w:sz w:val="28"/>
          <w:szCs w:val="28"/>
        </w:rPr>
        <w:t>КУРСОВЫХ</w:t>
      </w:r>
      <w:proofErr w:type="gramEnd"/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подготовки</w:t>
      </w:r>
      <w:r w:rsidRPr="00F13522">
        <w:rPr>
          <w:color w:val="000000"/>
          <w:spacing w:val="-5"/>
          <w:szCs w:val="28"/>
        </w:rPr>
        <w:t xml:space="preserve"> </w:t>
      </w:r>
      <w:r w:rsidRPr="00F13522">
        <w:rPr>
          <w:color w:val="000000"/>
          <w:spacing w:val="-2"/>
          <w:szCs w:val="28"/>
        </w:rPr>
        <w:t>«Юриспр</w:t>
      </w:r>
      <w:r w:rsidRPr="00F13522">
        <w:rPr>
          <w:color w:val="000000"/>
          <w:spacing w:val="-2"/>
          <w:szCs w:val="28"/>
        </w:rPr>
        <w:t>у</w:t>
      </w:r>
      <w:r w:rsidRPr="00F13522">
        <w:rPr>
          <w:color w:val="000000"/>
          <w:spacing w:val="-2"/>
          <w:szCs w:val="28"/>
        </w:rPr>
        <w:t>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</w:t>
      </w:r>
      <w:r w:rsidRPr="00F13522">
        <w:rPr>
          <w:color w:val="000000"/>
          <w:spacing w:val="-2"/>
          <w:szCs w:val="28"/>
        </w:rPr>
        <w:t>б</w:t>
      </w:r>
      <w:r w:rsidRPr="00F13522">
        <w:rPr>
          <w:color w:val="000000"/>
          <w:spacing w:val="-2"/>
          <w:szCs w:val="28"/>
        </w:rPr>
        <w:t xml:space="preserve">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уровне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>реписыв</w:t>
      </w:r>
      <w:r w:rsidRPr="00F13522">
        <w:rPr>
          <w:color w:val="000000"/>
          <w:spacing w:val="2"/>
          <w:szCs w:val="28"/>
        </w:rPr>
        <w:t>а</w:t>
      </w:r>
      <w:r w:rsidRPr="00F13522">
        <w:rPr>
          <w:color w:val="000000"/>
          <w:spacing w:val="2"/>
          <w:szCs w:val="28"/>
        </w:rPr>
        <w:t xml:space="preserve">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Pr="00F13522">
        <w:rPr>
          <w:color w:val="000000"/>
          <w:spacing w:val="-3"/>
          <w:szCs w:val="28"/>
        </w:rPr>
        <w:t xml:space="preserve"> 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</w:t>
      </w:r>
      <w:proofErr w:type="gramStart"/>
      <w:r w:rsidRPr="002C160E">
        <w:rPr>
          <w:szCs w:val="28"/>
        </w:rPr>
        <w:t>исследовательская</w:t>
      </w:r>
      <w:proofErr w:type="gramEnd"/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 xml:space="preserve">ридического института, должна отвечать учебным </w:t>
      </w:r>
      <w:r w:rsidR="00591B38">
        <w:rPr>
          <w:color w:val="000000"/>
          <w:szCs w:val="28"/>
        </w:rPr>
        <w:lastRenderedPageBreak/>
        <w:t>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>, соответствовать современному состоянию науки. 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</w:t>
      </w:r>
      <w:proofErr w:type="gramStart"/>
      <w:r w:rsidR="00591B38">
        <w:rPr>
          <w:color w:val="000000"/>
          <w:szCs w:val="28"/>
        </w:rPr>
        <w:t>.</w:t>
      </w:r>
      <w:proofErr w:type="gramEnd"/>
      <w:r w:rsidR="007608A5" w:rsidRPr="007608A5">
        <w:rPr>
          <w:color w:val="000000"/>
          <w:szCs w:val="28"/>
        </w:rPr>
        <w:t xml:space="preserve"> </w:t>
      </w:r>
      <w:proofErr w:type="gramStart"/>
      <w:r w:rsidR="00F0751F">
        <w:rPr>
          <w:color w:val="000000"/>
          <w:szCs w:val="28"/>
        </w:rPr>
        <w:t>Обучающемуся</w:t>
      </w:r>
      <w:proofErr w:type="gramEnd"/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научным руководителем.</w:t>
      </w:r>
    </w:p>
    <w:p w:rsidR="00341AE4" w:rsidRPr="002C160E" w:rsidRDefault="00A76A0F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341AE4" w:rsidRPr="002C160E">
        <w:rPr>
          <w:szCs w:val="28"/>
        </w:rPr>
        <w:t xml:space="preserve"> Руководство курсовыми работами должно поручаться наиболее квал</w:t>
      </w:r>
      <w:r w:rsidR="00341AE4" w:rsidRPr="002C160E">
        <w:rPr>
          <w:szCs w:val="28"/>
        </w:rPr>
        <w:t>и</w:t>
      </w:r>
      <w:r w:rsidR="00341AE4" w:rsidRPr="002C160E">
        <w:rPr>
          <w:szCs w:val="28"/>
        </w:rPr>
        <w:t xml:space="preserve">фицированным преподавателям соответствующей кафедры, </w:t>
      </w:r>
      <w:r w:rsidR="00341AE4">
        <w:rPr>
          <w:szCs w:val="28"/>
        </w:rPr>
        <w:t>обладающим мет</w:t>
      </w:r>
      <w:r w:rsidR="00341AE4">
        <w:rPr>
          <w:szCs w:val="28"/>
        </w:rPr>
        <w:t>о</w:t>
      </w:r>
      <w:r w:rsidR="00341AE4">
        <w:rPr>
          <w:szCs w:val="28"/>
        </w:rPr>
        <w:t>дическим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 xml:space="preserve">ель  формирует </w:t>
      </w:r>
      <w:proofErr w:type="gramStart"/>
      <w:r w:rsidR="00F0751F">
        <w:rPr>
          <w:szCs w:val="28"/>
        </w:rPr>
        <w:t>обучающемуся</w:t>
      </w:r>
      <w:proofErr w:type="gramEnd"/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</w:t>
      </w:r>
      <w:r w:rsidRPr="002C160E">
        <w:rPr>
          <w:szCs w:val="28"/>
        </w:rPr>
        <w:t>е</w:t>
      </w:r>
      <w:r w:rsidRPr="002C160E">
        <w:rPr>
          <w:szCs w:val="28"/>
        </w:rPr>
        <w:t>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</w:t>
      </w:r>
      <w:r w:rsidRPr="002C160E">
        <w:rPr>
          <w:szCs w:val="28"/>
        </w:rPr>
        <w:t>и</w:t>
      </w:r>
      <w:r w:rsidRPr="002C160E">
        <w:rPr>
          <w:szCs w:val="28"/>
        </w:rPr>
        <w:t>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="00A76A0F" w:rsidRPr="00AC6807">
        <w:rPr>
          <w:szCs w:val="28"/>
        </w:rPr>
        <w:t xml:space="preserve"> 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  <w:r w:rsidRPr="00AC6807">
        <w:rPr>
          <w:szCs w:val="28"/>
        </w:rPr>
        <w:t xml:space="preserve"> 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CE0022">
        <w:rPr>
          <w:szCs w:val="28"/>
        </w:rPr>
        <w:t xml:space="preserve"> 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</w:t>
      </w:r>
      <w:r w:rsidR="00AD7D21" w:rsidRPr="00633080">
        <w:rPr>
          <w:szCs w:val="28"/>
        </w:rPr>
        <w:t>о</w:t>
      </w:r>
      <w:r w:rsidR="00AD7D21" w:rsidRPr="00633080">
        <w:rPr>
          <w:szCs w:val="28"/>
        </w:rPr>
        <w:t>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</w:t>
      </w:r>
      <w:r w:rsidRPr="00633080">
        <w:rPr>
          <w:spacing w:val="-3"/>
          <w:szCs w:val="28"/>
        </w:rPr>
        <w:t xml:space="preserve"> </w:t>
      </w:r>
      <w:r w:rsidRPr="00633080">
        <w:rPr>
          <w:szCs w:val="28"/>
        </w:rPr>
        <w:t>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lastRenderedPageBreak/>
        <w:t>–</w:t>
      </w:r>
      <w:r w:rsidRPr="00633080">
        <w:rPr>
          <w:spacing w:val="-3"/>
          <w:szCs w:val="28"/>
        </w:rPr>
        <w:t xml:space="preserve"> </w:t>
      </w:r>
      <w:r w:rsidRPr="00633080">
        <w:rPr>
          <w:szCs w:val="28"/>
        </w:rPr>
        <w:t>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</w:t>
      </w:r>
      <w:r w:rsidRPr="00633080">
        <w:rPr>
          <w:szCs w:val="28"/>
        </w:rPr>
        <w:t>и</w:t>
      </w:r>
      <w:r w:rsidRPr="00633080">
        <w:rPr>
          <w:szCs w:val="28"/>
        </w:rPr>
        <w:t>стов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</w:t>
      </w:r>
      <w:r w:rsidRPr="00633080">
        <w:rPr>
          <w:szCs w:val="28"/>
        </w:rPr>
        <w:t>о</w:t>
      </w:r>
      <w:r w:rsidRPr="00633080">
        <w:rPr>
          <w:szCs w:val="28"/>
        </w:rPr>
        <w:t>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 xml:space="preserve">ается, она возвращается </w:t>
      </w:r>
      <w:proofErr w:type="gramStart"/>
      <w:r w:rsidR="00F0751F">
        <w:rPr>
          <w:color w:val="000000"/>
          <w:szCs w:val="28"/>
        </w:rPr>
        <w:t>обучающемуся</w:t>
      </w:r>
      <w:proofErr w:type="gramEnd"/>
      <w:r w:rsidRPr="00F13522">
        <w:rPr>
          <w:color w:val="000000"/>
          <w:szCs w:val="28"/>
        </w:rPr>
        <w:t xml:space="preserve">. </w:t>
      </w:r>
      <w:proofErr w:type="gramStart"/>
      <w:r w:rsidRPr="00F13522">
        <w:rPr>
          <w:color w:val="000000"/>
          <w:szCs w:val="28"/>
        </w:rPr>
        <w:t>Последний</w:t>
      </w:r>
      <w:proofErr w:type="gramEnd"/>
      <w:r w:rsidRPr="00F13522">
        <w:rPr>
          <w:color w:val="000000"/>
          <w:szCs w:val="28"/>
        </w:rPr>
        <w:t xml:space="preserve">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 xml:space="preserve">к к защите, защищается </w:t>
      </w:r>
      <w:proofErr w:type="gramStart"/>
      <w:r w:rsidR="00F0751F">
        <w:rPr>
          <w:color w:val="000000" w:themeColor="text1"/>
          <w:szCs w:val="28"/>
        </w:rPr>
        <w:t>обучающимся</w:t>
      </w:r>
      <w:proofErr w:type="gramEnd"/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>но  п</w:t>
      </w:r>
      <w:r w:rsidR="0085207B" w:rsidRPr="0085207B">
        <w:rPr>
          <w:bCs/>
          <w:color w:val="000000" w:themeColor="text1"/>
          <w:szCs w:val="28"/>
        </w:rPr>
        <w:t>е</w:t>
      </w:r>
      <w:r w:rsidR="0085207B" w:rsidRPr="0085207B">
        <w:rPr>
          <w:bCs/>
          <w:color w:val="000000" w:themeColor="text1"/>
          <w:szCs w:val="28"/>
        </w:rPr>
        <w:t xml:space="preserve">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85207B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</w:t>
      </w:r>
      <w:r w:rsidR="00AD7D21"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 xml:space="preserve">снения уровня усвоения </w:t>
      </w:r>
      <w:proofErr w:type="gramStart"/>
      <w:r w:rsidR="004578D0">
        <w:rPr>
          <w:color w:val="000000"/>
          <w:szCs w:val="28"/>
        </w:rPr>
        <w:t>обучающимся</w:t>
      </w:r>
      <w:proofErr w:type="gramEnd"/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курсовая работа оценивается дифференцированной отметкой по </w:t>
      </w:r>
      <w:proofErr w:type="spellStart"/>
      <w:r w:rsidRPr="00F13522">
        <w:rPr>
          <w:color w:val="000000"/>
          <w:szCs w:val="28"/>
        </w:rPr>
        <w:t>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</w:t>
      </w:r>
      <w:proofErr w:type="spellEnd"/>
      <w:r w:rsidRPr="00F13522">
        <w:rPr>
          <w:color w:val="000000"/>
          <w:szCs w:val="28"/>
        </w:rPr>
        <w:t xml:space="preserve">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</w:t>
      </w:r>
      <w:proofErr w:type="gramStart"/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>, не предоставивший в установленный срок курсовую р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боту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Pr="00F13522">
        <w:rPr>
          <w:color w:val="000000"/>
          <w:szCs w:val="28"/>
        </w:rPr>
        <w:t>, считается имеющим акад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мическую задолженность.</w:t>
      </w:r>
      <w:r w:rsidRPr="00F13522">
        <w:rPr>
          <w:szCs w:val="28"/>
        </w:rPr>
        <w:t xml:space="preserve"> </w:t>
      </w:r>
      <w:proofErr w:type="gramEnd"/>
    </w:p>
    <w:p w:rsidR="00AD7D21" w:rsidRPr="00F13522" w:rsidRDefault="00920FBB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="00AD7D21"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="00AD7D21"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="00AD7D21"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633080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</w:t>
      </w:r>
      <w:r w:rsidR="00AD7D21" w:rsidRPr="00F13522">
        <w:rPr>
          <w:szCs w:val="28"/>
        </w:rPr>
        <w:t xml:space="preserve"> Итоги защиты курсовых работ обсуждаются на заседаниях соответств</w:t>
      </w:r>
      <w:r w:rsidR="00AD7D21" w:rsidRPr="00F13522">
        <w:rPr>
          <w:szCs w:val="28"/>
        </w:rPr>
        <w:t>у</w:t>
      </w:r>
      <w:r w:rsidR="00AD7D21" w:rsidRPr="00F13522">
        <w:rPr>
          <w:szCs w:val="28"/>
        </w:rPr>
        <w:t>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proofErr w:type="gramStart"/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>, нижнее –  25 мм.</w:t>
      </w:r>
      <w:proofErr w:type="gramEnd"/>
      <w:r w:rsidRPr="00F13522">
        <w:rPr>
          <w:color w:val="000000"/>
          <w:szCs w:val="28"/>
        </w:rPr>
        <w:t xml:space="preserve"> Текст курсовой работы должен быть набран на компьютере (объем – 22-40 страниц).  </w:t>
      </w:r>
    </w:p>
    <w:p w:rsidR="00AD7D21" w:rsidRPr="00F13522" w:rsidRDefault="00AC6807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="00AD7D21" w:rsidRPr="00F13522">
        <w:rPr>
          <w:color w:val="000000"/>
          <w:szCs w:val="28"/>
          <w:lang w:val="en-US"/>
        </w:rPr>
        <w:t>Microsoft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Word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for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Windows</w:t>
      </w:r>
      <w:r w:rsidR="00AD7D21"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="00AD7D21" w:rsidRPr="00F13522">
        <w:rPr>
          <w:color w:val="000000"/>
          <w:szCs w:val="28"/>
          <w:lang w:val="en-US"/>
        </w:rPr>
        <w:t>Times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New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Roman</w:t>
      </w:r>
      <w:r w:rsidR="00AD7D21" w:rsidRPr="00F13522">
        <w:rPr>
          <w:color w:val="000000"/>
          <w:szCs w:val="28"/>
        </w:rPr>
        <w:t xml:space="preserve"> </w:t>
      </w:r>
      <w:r w:rsidR="00AD7D21" w:rsidRPr="00F13522">
        <w:rPr>
          <w:color w:val="000000"/>
          <w:szCs w:val="28"/>
          <w:lang w:val="en-US"/>
        </w:rPr>
        <w:t>Cyr</w:t>
      </w:r>
      <w:r w:rsidR="00AD7D21" w:rsidRPr="00F13522">
        <w:rPr>
          <w:color w:val="000000"/>
          <w:szCs w:val="28"/>
        </w:rPr>
        <w:t xml:space="preserve">, размером 14 пунктов. Шрифт текста должен быть четким. Размер абзацного отступа – </w:t>
      </w:r>
      <w:smartTag w:uri="urn:schemas-microsoft-com:office:smarttags" w:element="metricconverter">
        <w:smartTagPr>
          <w:attr w:name="ProductID" w:val="1,25 см"/>
        </w:smartTagPr>
        <w:r w:rsidR="00AD7D21" w:rsidRPr="00F13522">
          <w:rPr>
            <w:color w:val="000000"/>
            <w:szCs w:val="28"/>
          </w:rPr>
          <w:t>1,25 см</w:t>
        </w:r>
      </w:smartTag>
      <w:r w:rsidR="00AD7D21" w:rsidRPr="00F13522">
        <w:rPr>
          <w:color w:val="000000"/>
          <w:szCs w:val="28"/>
        </w:rPr>
        <w:t>.</w:t>
      </w:r>
      <w:r>
        <w:rPr>
          <w:color w:val="000000"/>
          <w:szCs w:val="28"/>
        </w:rPr>
        <w:t>- 1,27см.</w:t>
      </w:r>
      <w:r w:rsidR="00AD7D21" w:rsidRPr="00F13522">
        <w:rPr>
          <w:szCs w:val="28"/>
        </w:rPr>
        <w:t xml:space="preserve">        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 xml:space="preserve">чения направления подготовки </w:t>
      </w:r>
      <w:proofErr w:type="gramStart"/>
      <w:r w:rsidRPr="00F13522">
        <w:rPr>
          <w:color w:val="000000"/>
          <w:spacing w:val="-3"/>
          <w:szCs w:val="28"/>
        </w:rPr>
        <w:t xml:space="preserve">( </w:t>
      </w:r>
      <w:proofErr w:type="gramEnd"/>
      <w:r w:rsidRPr="00F13522">
        <w:rPr>
          <w:color w:val="000000"/>
          <w:spacing w:val="-3"/>
          <w:szCs w:val="28"/>
        </w:rPr>
        <w:t>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proofErr w:type="gramStart"/>
      <w:r w:rsidR="00633080" w:rsidRPr="003C1A0E">
        <w:rPr>
          <w:spacing w:val="-3"/>
          <w:szCs w:val="28"/>
        </w:rPr>
        <w:t>.</w:t>
      </w:r>
      <w:proofErr w:type="gramEnd"/>
      <w:r w:rsidRPr="003C1A0E">
        <w:rPr>
          <w:spacing w:val="-3"/>
          <w:szCs w:val="28"/>
        </w:rPr>
        <w:t xml:space="preserve"> </w:t>
      </w:r>
      <w:r w:rsidR="003C1A0E" w:rsidRPr="003C1A0E">
        <w:rPr>
          <w:spacing w:val="-3"/>
          <w:szCs w:val="28"/>
        </w:rPr>
        <w:t>(</w:t>
      </w:r>
      <w:proofErr w:type="gramStart"/>
      <w:r w:rsidR="003C1A0E" w:rsidRPr="003C1A0E">
        <w:rPr>
          <w:spacing w:val="-3"/>
          <w:szCs w:val="28"/>
        </w:rPr>
        <w:t>п</w:t>
      </w:r>
      <w:proofErr w:type="gramEnd"/>
      <w:r w:rsidR="003C1A0E" w:rsidRPr="003C1A0E">
        <w:rPr>
          <w:spacing w:val="-3"/>
          <w:szCs w:val="28"/>
        </w:rPr>
        <w:t>рил. 1</w:t>
      </w:r>
      <w:r w:rsidRPr="003C1A0E">
        <w:rPr>
          <w:spacing w:val="-3"/>
          <w:szCs w:val="28"/>
        </w:rPr>
        <w:t>).</w:t>
      </w:r>
    </w:p>
    <w:p w:rsidR="00AD7D21" w:rsidRPr="003C1A0E" w:rsidRDefault="0085207B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>
        <w:rPr>
          <w:color w:val="000000"/>
          <w:szCs w:val="28"/>
        </w:rPr>
        <w:lastRenderedPageBreak/>
        <w:t xml:space="preserve">      </w:t>
      </w:r>
      <w:r w:rsidR="00AD7D21" w:rsidRPr="00F13522">
        <w:rPr>
          <w:color w:val="000000"/>
          <w:szCs w:val="28"/>
        </w:rPr>
        <w:t xml:space="preserve">   – </w:t>
      </w:r>
      <w:r w:rsidR="00AD7D21"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="00AD7D21" w:rsidRPr="00F13522">
        <w:rPr>
          <w:color w:val="000000"/>
          <w:szCs w:val="28"/>
        </w:rPr>
        <w:t xml:space="preserve">содержание)  </w:t>
      </w:r>
      <w:r w:rsidR="00AD7D21"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="00AD7D21" w:rsidRPr="00F13522">
        <w:rPr>
          <w:bCs/>
          <w:szCs w:val="28"/>
        </w:rPr>
        <w:t>а</w:t>
      </w:r>
      <w:r w:rsidR="00AD7D21" w:rsidRPr="00F13522">
        <w:rPr>
          <w:bCs/>
          <w:szCs w:val="28"/>
        </w:rPr>
        <w:t xml:space="preserve">ключение, </w:t>
      </w:r>
      <w:r w:rsidR="00AD7D21"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="00AD7D21" w:rsidRPr="00F13522">
        <w:rPr>
          <w:szCs w:val="28"/>
        </w:rPr>
        <w:t xml:space="preserve">при необходимости) </w:t>
      </w:r>
      <w:r w:rsidR="00AD7D21" w:rsidRPr="00F13522">
        <w:rPr>
          <w:bCs/>
          <w:szCs w:val="28"/>
        </w:rPr>
        <w:t>с ук</w:t>
      </w:r>
      <w:r w:rsidR="00AD7D21" w:rsidRPr="00F13522">
        <w:rPr>
          <w:bCs/>
          <w:szCs w:val="28"/>
        </w:rPr>
        <w:t>а</w:t>
      </w:r>
      <w:r w:rsidR="00AD7D21"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AD7D21" w:rsidRPr="00F13522">
        <w:rPr>
          <w:szCs w:val="28"/>
        </w:rPr>
        <w:t xml:space="preserve"> </w:t>
      </w:r>
      <w:r w:rsidR="003C1A0E" w:rsidRPr="003C1A0E">
        <w:rPr>
          <w:szCs w:val="28"/>
        </w:rPr>
        <w:t>(прил. 2</w:t>
      </w:r>
      <w:r w:rsidR="00AD7D21"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рактеристику степени научной разработанности проблемы; обзор нормативно-</w:t>
      </w:r>
      <w:proofErr w:type="spellStart"/>
      <w:r w:rsidRPr="00F13522">
        <w:rPr>
          <w:color w:val="000000"/>
          <w:szCs w:val="28"/>
        </w:rPr>
        <w:t>источниковой</w:t>
      </w:r>
      <w:proofErr w:type="spellEnd"/>
      <w:r w:rsidRPr="00F13522">
        <w:rPr>
          <w:color w:val="000000"/>
          <w:szCs w:val="28"/>
        </w:rPr>
        <w:t xml:space="preserve">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 xml:space="preserve">скими цифрами в пределах каждой главы. Номер вопроса состоит из номера главы и вопроса, </w:t>
      </w:r>
      <w:proofErr w:type="gramStart"/>
      <w:r w:rsidRPr="00F13522">
        <w:rPr>
          <w:bCs/>
          <w:szCs w:val="28"/>
        </w:rPr>
        <w:t>разделенных</w:t>
      </w:r>
      <w:proofErr w:type="gramEnd"/>
      <w:r w:rsidRPr="00F13522">
        <w:rPr>
          <w:bCs/>
          <w:szCs w:val="28"/>
        </w:rPr>
        <w:t xml:space="preserve">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color w:val="FF0000"/>
          <w:szCs w:val="28"/>
        </w:rPr>
        <w:t xml:space="preserve"> </w:t>
      </w: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bCs/>
          <w:szCs w:val="28"/>
        </w:rPr>
        <w:t xml:space="preserve">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</w:t>
      </w:r>
      <w:proofErr w:type="spellStart"/>
      <w:r w:rsidRPr="00F13522">
        <w:rPr>
          <w:color w:val="000000"/>
          <w:szCs w:val="28"/>
        </w:rPr>
        <w:t>фактологического</w:t>
      </w:r>
      <w:proofErr w:type="spellEnd"/>
      <w:r w:rsidRPr="00F13522">
        <w:rPr>
          <w:color w:val="000000"/>
          <w:szCs w:val="28"/>
        </w:rPr>
        <w:t xml:space="preserve">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черпнуты такие сведения. Сноски нумеруются арабскими цифрами, начиная с номера «1» на каждой странице и </w:t>
      </w:r>
      <w:proofErr w:type="gramStart"/>
      <w:r w:rsidRPr="00F13522">
        <w:rPr>
          <w:color w:val="000000"/>
          <w:szCs w:val="28"/>
        </w:rPr>
        <w:t>оформляются</w:t>
      </w:r>
      <w:proofErr w:type="gramEnd"/>
      <w:r w:rsidRPr="00F13522">
        <w:rPr>
          <w:color w:val="000000"/>
          <w:szCs w:val="28"/>
        </w:rPr>
        <w:t xml:space="preserve">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szCs w:val="28"/>
        </w:rPr>
        <w:t xml:space="preserve"> </w:t>
      </w:r>
      <w:r w:rsidRPr="00F13522">
        <w:rPr>
          <w:bCs/>
          <w:szCs w:val="28"/>
        </w:rPr>
        <w:t xml:space="preserve">Текст сноски набирается нежирным шрифтом </w:t>
      </w:r>
      <w:proofErr w:type="spellStart"/>
      <w:r w:rsidRPr="00F13522">
        <w:rPr>
          <w:bCs/>
          <w:szCs w:val="28"/>
        </w:rPr>
        <w:t>Times</w:t>
      </w:r>
      <w:proofErr w:type="spellEnd"/>
      <w:r w:rsidRPr="00F13522">
        <w:rPr>
          <w:bCs/>
          <w:szCs w:val="28"/>
        </w:rPr>
        <w:t xml:space="preserve"> </w:t>
      </w:r>
      <w:proofErr w:type="spellStart"/>
      <w:r w:rsidRPr="00F13522">
        <w:rPr>
          <w:bCs/>
          <w:szCs w:val="28"/>
        </w:rPr>
        <w:t>New</w:t>
      </w:r>
      <w:proofErr w:type="spellEnd"/>
      <w:r w:rsidRPr="00F13522">
        <w:rPr>
          <w:bCs/>
          <w:szCs w:val="28"/>
        </w:rPr>
        <w:t xml:space="preserve"> </w:t>
      </w:r>
      <w:proofErr w:type="spellStart"/>
      <w:r w:rsidRPr="00F13522">
        <w:rPr>
          <w:bCs/>
          <w:szCs w:val="28"/>
        </w:rPr>
        <w:t>Roman</w:t>
      </w:r>
      <w:proofErr w:type="spellEnd"/>
      <w:r w:rsidRPr="00F13522">
        <w:rPr>
          <w:bCs/>
          <w:szCs w:val="28"/>
        </w:rPr>
        <w:t xml:space="preserve"> </w:t>
      </w:r>
      <w:proofErr w:type="spellStart"/>
      <w:r w:rsidRPr="00F13522">
        <w:rPr>
          <w:bCs/>
          <w:szCs w:val="28"/>
        </w:rPr>
        <w:t>Cyr</w:t>
      </w:r>
      <w:proofErr w:type="spellEnd"/>
      <w:r w:rsidRPr="00F13522">
        <w:rPr>
          <w:bCs/>
          <w:szCs w:val="28"/>
        </w:rPr>
        <w:t>, размером 12 пунктов</w:t>
      </w:r>
      <w:r w:rsidR="009E01D8">
        <w:rPr>
          <w:bCs/>
          <w:szCs w:val="28"/>
        </w:rPr>
        <w:t xml:space="preserve"> </w:t>
      </w:r>
      <w:r w:rsidRPr="00F13522">
        <w:rPr>
          <w:rFonts w:eastAsia="Calibri"/>
          <w:szCs w:val="28"/>
          <w:lang w:eastAsia="en-US"/>
        </w:rPr>
        <w:t xml:space="preserve"> 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 xml:space="preserve">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>ция; при этом рекомендуется использовать данные официальных сайтов гос</w:t>
      </w:r>
      <w:r w:rsidR="00AD7D21" w:rsidRPr="00CE0022">
        <w:rPr>
          <w:color w:val="000000" w:themeColor="text1"/>
          <w:szCs w:val="28"/>
        </w:rPr>
        <w:t>у</w:t>
      </w:r>
      <w:r w:rsidR="00AD7D21" w:rsidRPr="00CE0022">
        <w:rPr>
          <w:color w:val="000000" w:themeColor="text1"/>
          <w:szCs w:val="28"/>
        </w:rPr>
        <w:t>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</w:t>
      </w:r>
      <w:r w:rsidR="00AD7D21" w:rsidRPr="00CE0022">
        <w:rPr>
          <w:color w:val="000000" w:themeColor="text1"/>
          <w:szCs w:val="28"/>
        </w:rPr>
        <w:t>р</w:t>
      </w:r>
      <w:r w:rsidR="00AD7D21" w:rsidRPr="00CE0022">
        <w:rPr>
          <w:color w:val="000000" w:themeColor="text1"/>
          <w:szCs w:val="28"/>
        </w:rPr>
        <w:t xml:space="preserve">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</w:t>
      </w:r>
      <w:r w:rsidRPr="00F13522">
        <w:rPr>
          <w:szCs w:val="28"/>
        </w:rPr>
        <w:t>с</w:t>
      </w:r>
      <w:r w:rsidRPr="00F13522">
        <w:rPr>
          <w:szCs w:val="28"/>
        </w:rPr>
        <w:t>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– приложения оформляются как продолжение курсовой работы и расп</w:t>
      </w:r>
      <w:r w:rsidRPr="00F13522">
        <w:rPr>
          <w:szCs w:val="28"/>
        </w:rPr>
        <w:t>о</w:t>
      </w:r>
      <w:r w:rsidRPr="00F13522">
        <w:rPr>
          <w:szCs w:val="28"/>
        </w:rPr>
        <w:t>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</w:t>
      </w:r>
      <w:r w:rsidRPr="00F13522">
        <w:rPr>
          <w:szCs w:val="28"/>
        </w:rPr>
        <w:t>с</w:t>
      </w:r>
      <w:r w:rsidRPr="00F13522">
        <w:rPr>
          <w:szCs w:val="28"/>
        </w:rPr>
        <w:t>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</w:t>
      </w:r>
      <w:r w:rsidRPr="00F13522">
        <w:rPr>
          <w:szCs w:val="28"/>
        </w:rPr>
        <w:t>у</w:t>
      </w:r>
      <w:r w:rsidRPr="00F13522">
        <w:rPr>
          <w:szCs w:val="28"/>
        </w:rPr>
        <w:t>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47C43">
        <w:rPr>
          <w:spacing w:val="-2"/>
          <w:szCs w:val="28"/>
        </w:rPr>
        <w:t xml:space="preserve">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</w:t>
      </w:r>
      <w:r w:rsidR="00932932" w:rsidRPr="00111553">
        <w:rPr>
          <w:spacing w:val="-2"/>
          <w:szCs w:val="28"/>
        </w:rPr>
        <w:t xml:space="preserve"> </w:t>
      </w:r>
      <w:r w:rsidR="00770A5A" w:rsidRPr="00111553">
        <w:rPr>
          <w:spacing w:val="-2"/>
          <w:szCs w:val="28"/>
        </w:rPr>
        <w:t xml:space="preserve">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  <w:r w:rsidR="00932932" w:rsidRPr="00111553">
        <w:rPr>
          <w:spacing w:val="-2"/>
          <w:szCs w:val="28"/>
        </w:rPr>
        <w:t xml:space="preserve"> 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47C43">
        <w:rPr>
          <w:spacing w:val="-2"/>
          <w:szCs w:val="28"/>
        </w:rPr>
        <w:t xml:space="preserve"> 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lastRenderedPageBreak/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</w:t>
      </w:r>
      <w:r w:rsidR="00932932">
        <w:rPr>
          <w:spacing w:val="-2"/>
          <w:szCs w:val="28"/>
        </w:rPr>
        <w:t>е</w:t>
      </w:r>
      <w:r w:rsidR="00932932">
        <w:rPr>
          <w:spacing w:val="-2"/>
          <w:szCs w:val="28"/>
        </w:rPr>
        <w:t xml:space="preserve">деления </w:t>
      </w:r>
      <w:r w:rsidR="00111553">
        <w:rPr>
          <w:spacing w:val="-2"/>
          <w:szCs w:val="28"/>
        </w:rPr>
        <w:t xml:space="preserve"> </w:t>
      </w:r>
      <w:r w:rsidR="00932932">
        <w:rPr>
          <w:spacing w:val="-2"/>
          <w:szCs w:val="28"/>
        </w:rPr>
        <w:t xml:space="preserve">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</w:t>
      </w:r>
      <w:r w:rsidR="008B3853">
        <w:rPr>
          <w:spacing w:val="-2"/>
          <w:szCs w:val="28"/>
        </w:rPr>
        <w:t xml:space="preserve"> </w:t>
      </w:r>
      <w:r w:rsidR="00932932">
        <w:rPr>
          <w:spacing w:val="-2"/>
          <w:szCs w:val="28"/>
        </w:rPr>
        <w:t xml:space="preserve">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</w:t>
      </w:r>
      <w:r w:rsidRPr="00B77505">
        <w:rPr>
          <w:spacing w:val="-2"/>
          <w:szCs w:val="28"/>
        </w:rPr>
        <w:t>е</w:t>
      </w:r>
      <w:r w:rsidRPr="00B77505">
        <w:rPr>
          <w:spacing w:val="-2"/>
          <w:szCs w:val="28"/>
        </w:rPr>
        <w:t>нумов Верховного</w:t>
      </w:r>
      <w:r w:rsidR="008B3853">
        <w:rPr>
          <w:spacing w:val="-2"/>
          <w:szCs w:val="28"/>
        </w:rPr>
        <w:t xml:space="preserve"> </w:t>
      </w:r>
      <w:r w:rsidRPr="00B77505">
        <w:rPr>
          <w:spacing w:val="-2"/>
          <w:szCs w:val="28"/>
        </w:rPr>
        <w:t xml:space="preserve"> Суда</w:t>
      </w:r>
      <w:r w:rsidR="008B3853">
        <w:rPr>
          <w:spacing w:val="-2"/>
          <w:szCs w:val="28"/>
        </w:rPr>
        <w:t xml:space="preserve"> </w:t>
      </w:r>
      <w:r w:rsidRPr="00B77505">
        <w:rPr>
          <w:spacing w:val="-2"/>
          <w:szCs w:val="28"/>
        </w:rPr>
        <w:t xml:space="preserve">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</w:t>
      </w:r>
      <w:r w:rsidRPr="00F13522">
        <w:rPr>
          <w:spacing w:val="-2"/>
          <w:szCs w:val="28"/>
        </w:rPr>
        <w:t>с</w:t>
      </w:r>
      <w:r w:rsidRPr="00F13522">
        <w:rPr>
          <w:spacing w:val="-2"/>
          <w:szCs w:val="28"/>
        </w:rPr>
        <w:t>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>По каждому использованному источнику должна быть полная информ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го числа принят, номер, дата последней редакции, где был опубликован, в к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>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Правительстве Российской Федерации: Федеральный конституц</w:t>
      </w:r>
      <w:r w:rsidRPr="00F13522">
        <w:rPr>
          <w:b/>
          <w:szCs w:val="28"/>
        </w:rPr>
        <w:t>и</w:t>
      </w:r>
      <w:r w:rsidRPr="00F13522">
        <w:rPr>
          <w:b/>
          <w:szCs w:val="28"/>
        </w:rPr>
        <w:t>онный закон от 17.12.1997 № 2-ФКЗ (ред. от 28.12.2010) // Собрание закон</w:t>
      </w:r>
      <w:r w:rsidRPr="00F13522">
        <w:rPr>
          <w:b/>
          <w:szCs w:val="28"/>
        </w:rPr>
        <w:t>о</w:t>
      </w:r>
      <w:r w:rsidRPr="00F13522">
        <w:rPr>
          <w:b/>
          <w:szCs w:val="28"/>
        </w:rPr>
        <w:t xml:space="preserve">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стандарте должны включать: обозначение и полное наимен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Cs/>
          <w:szCs w:val="28"/>
          <w:lang w:eastAsia="en-US"/>
        </w:rPr>
        <w:t>Витрянский</w:t>
      </w:r>
      <w:proofErr w:type="spellEnd"/>
      <w:r w:rsidR="00DB52BD">
        <w:rPr>
          <w:rFonts w:eastAsia="Calibri"/>
          <w:b/>
          <w:iCs/>
          <w:szCs w:val="28"/>
          <w:lang w:eastAsia="en-US"/>
        </w:rPr>
        <w:t xml:space="preserve"> 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DB52BD" w:rsidRPr="00F13522">
        <w:rPr>
          <w:rFonts w:eastAsia="Calibri"/>
          <w:b/>
          <w:szCs w:val="28"/>
          <w:lang w:eastAsia="en-US"/>
        </w:rPr>
        <w:t xml:space="preserve"> </w:t>
      </w:r>
      <w:r w:rsidR="00DB52BD">
        <w:rPr>
          <w:rFonts w:eastAsia="Calibri"/>
          <w:b/>
          <w:iCs/>
          <w:szCs w:val="28"/>
          <w:lang w:eastAsia="en-US"/>
        </w:rPr>
        <w:t xml:space="preserve"> </w:t>
      </w:r>
      <w:r>
        <w:rPr>
          <w:rFonts w:eastAsia="Calibri"/>
          <w:b/>
          <w:iCs/>
          <w:szCs w:val="28"/>
          <w:lang w:eastAsia="en-US"/>
        </w:rPr>
        <w:t xml:space="preserve"> 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 xml:space="preserve">Коммерческое право: Учебник для юридических вузов. / Под ред. В.Ф. </w:t>
      </w:r>
      <w:proofErr w:type="spellStart"/>
      <w:r w:rsidRPr="00F13522">
        <w:rPr>
          <w:rFonts w:eastAsia="Calibri"/>
          <w:b/>
          <w:szCs w:val="28"/>
          <w:lang w:eastAsia="en-US"/>
        </w:rPr>
        <w:t>Попондопуло</w:t>
      </w:r>
      <w:proofErr w:type="spellEnd"/>
      <w:r w:rsidRPr="00F13522">
        <w:rPr>
          <w:rFonts w:eastAsia="Calibri"/>
          <w:b/>
          <w:szCs w:val="28"/>
          <w:lang w:eastAsia="en-US"/>
        </w:rPr>
        <w:t>. – СПб</w:t>
      </w:r>
      <w:proofErr w:type="gramStart"/>
      <w:r w:rsidRPr="00F13522">
        <w:rPr>
          <w:rFonts w:eastAsia="Calibri"/>
          <w:b/>
          <w:szCs w:val="28"/>
          <w:lang w:eastAsia="en-US"/>
        </w:rPr>
        <w:t xml:space="preserve">.: </w:t>
      </w:r>
      <w:proofErr w:type="gramEnd"/>
      <w:r w:rsidRPr="00F13522">
        <w:rPr>
          <w:rFonts w:eastAsia="Calibri"/>
          <w:b/>
          <w:szCs w:val="28"/>
          <w:lang w:eastAsia="en-US"/>
        </w:rPr>
        <w:t>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</w:t>
      </w:r>
      <w:r w:rsidRPr="00F13522">
        <w:rPr>
          <w:rFonts w:eastAsia="Calibri"/>
          <w:b/>
          <w:szCs w:val="28"/>
          <w:lang w:eastAsia="en-US"/>
        </w:rPr>
        <w:t>о</w:t>
      </w:r>
      <w:r w:rsidRPr="00F13522">
        <w:rPr>
          <w:rFonts w:eastAsia="Calibri"/>
          <w:b/>
          <w:szCs w:val="28"/>
          <w:lang w:eastAsia="en-US"/>
        </w:rPr>
        <w:t>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</w:t>
      </w:r>
      <w:r w:rsidRPr="00F13522">
        <w:rPr>
          <w:bCs/>
          <w:szCs w:val="28"/>
        </w:rPr>
        <w:t>ы</w:t>
      </w:r>
      <w:r w:rsidRPr="00F13522">
        <w:rPr>
          <w:bCs/>
          <w:szCs w:val="28"/>
        </w:rPr>
        <w:t>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proofErr w:type="spellStart"/>
      <w:r w:rsidRPr="00F13522">
        <w:rPr>
          <w:rFonts w:eastAsia="Calibri"/>
          <w:b/>
          <w:szCs w:val="28"/>
          <w:lang w:eastAsia="en-US"/>
        </w:rPr>
        <w:t>Красноруцкая</w:t>
      </w:r>
      <w:proofErr w:type="spellEnd"/>
      <w:r w:rsidRPr="00F13522">
        <w:rPr>
          <w:rFonts w:eastAsia="Calibri"/>
          <w:b/>
          <w:szCs w:val="28"/>
          <w:lang w:eastAsia="en-US"/>
        </w:rPr>
        <w:t xml:space="preserve">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 xml:space="preserve">В.Т. Васильев, И.В. </w:t>
      </w:r>
      <w:proofErr w:type="spellStart"/>
      <w:r w:rsidRPr="00F13522">
        <w:rPr>
          <w:rFonts w:eastAsia="Calibri"/>
          <w:b/>
          <w:szCs w:val="28"/>
          <w:lang w:eastAsia="en-US"/>
        </w:rPr>
        <w:t>Красноруцкая</w:t>
      </w:r>
      <w:proofErr w:type="spellEnd"/>
      <w:r w:rsidRPr="00F13522">
        <w:rPr>
          <w:rFonts w:eastAsia="Calibri"/>
          <w:b/>
          <w:szCs w:val="28"/>
          <w:lang w:eastAsia="en-US"/>
        </w:rPr>
        <w:t>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судебных актах и иных актах правоприменительной практике оформляются в таком же порядке, как и сноски на данные акты (см. оформл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proofErr w:type="gramStart"/>
      <w:r w:rsidRPr="00F13522">
        <w:rPr>
          <w:b/>
          <w:szCs w:val="28"/>
        </w:rPr>
        <w:t>Официальный</w:t>
      </w:r>
      <w:proofErr w:type="gramEnd"/>
      <w:r w:rsidRPr="00F13522">
        <w:rPr>
          <w:b/>
          <w:szCs w:val="28"/>
        </w:rPr>
        <w:t xml:space="preserve"> веб-сайт Генеральной прокуратуры Российской Фед</w:t>
      </w:r>
      <w:r w:rsidRPr="00F13522">
        <w:rPr>
          <w:b/>
          <w:szCs w:val="28"/>
        </w:rPr>
        <w:t>е</w:t>
      </w:r>
      <w:r w:rsidRPr="00F13522">
        <w:rPr>
          <w:b/>
          <w:szCs w:val="28"/>
        </w:rPr>
        <w:t xml:space="preserve">рации // </w:t>
      </w:r>
      <w:hyperlink r:id="rId9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>
        <w:lastRenderedPageBreak/>
        <w:t xml:space="preserve">                                                                                                     </w:t>
      </w: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  <w:r w:rsidRPr="00AD7D21">
        <w:t xml:space="preserve">                      </w:t>
      </w: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  <w:r w:rsidRPr="00575965">
        <w:rPr>
          <w:sz w:val="13"/>
          <w:szCs w:val="13"/>
        </w:rPr>
        <w:t xml:space="preserve"> 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4F4BC9" w:rsidP="004F4BC9">
      <w:pPr>
        <w:ind w:firstLine="0"/>
        <w:rPr>
          <w:b/>
          <w:szCs w:val="28"/>
        </w:rPr>
      </w:pPr>
      <w:r w:rsidRPr="00575965">
        <w:rPr>
          <w:szCs w:val="28"/>
        </w:rPr>
        <w:t xml:space="preserve">                                                        </w:t>
      </w:r>
      <w:r w:rsidR="00F13522"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proofErr w:type="gramStart"/>
            <w:r w:rsidRPr="00575965">
              <w:rPr>
                <w:b/>
                <w:i/>
              </w:rPr>
              <w:t>Допущена</w:t>
            </w:r>
            <w:proofErr w:type="gramEnd"/>
            <w:r w:rsidRPr="00575965">
              <w:rPr>
                <w:b/>
                <w:i/>
              </w:rPr>
              <w:t xml:space="preserve">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0900B1" w:rsidRPr="00575965">
              <w:rPr>
                <w:bCs/>
              </w:rPr>
              <w:t xml:space="preserve">        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4F4BC9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 xml:space="preserve">                          </w:t>
            </w:r>
            <w:r w:rsidR="00F13522"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</w:t>
      </w:r>
      <w:r w:rsidR="000900B1" w:rsidRPr="00575965">
        <w:rPr>
          <w:bCs/>
          <w:sz w:val="18"/>
          <w:szCs w:val="18"/>
        </w:rPr>
        <w:t xml:space="preserve"> </w:t>
      </w:r>
      <w:r w:rsidRPr="00575965">
        <w:rPr>
          <w:bCs/>
          <w:sz w:val="18"/>
          <w:szCs w:val="18"/>
        </w:rPr>
        <w:t>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</w:r>
      <w:r w:rsidR="007C3D05">
        <w:t xml:space="preserve">            </w:t>
      </w:r>
      <w:r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 w:rsidRPr="00A4164E">
              <w:t xml:space="preserve"> 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</w:t>
            </w:r>
            <w:r w:rsidRPr="00A4164E">
              <w:rPr>
                <w:sz w:val="24"/>
              </w:rPr>
              <w:t>а</w:t>
            </w:r>
            <w:r w:rsidRPr="00A4164E">
              <w:rPr>
                <w:sz w:val="24"/>
              </w:rPr>
              <w:t>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  <w:r w:rsidRPr="00A4164E">
              <w:rPr>
                <w:b/>
                <w:bCs/>
                <w:sz w:val="24"/>
              </w:rPr>
              <w:t xml:space="preserve">   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46E48">
        <w:rPr>
          <w:b/>
          <w:bCs/>
          <w:sz w:val="24"/>
          <w:szCs w:val="24"/>
        </w:rPr>
        <w:t xml:space="preserve">           </w:t>
      </w:r>
      <w:r w:rsidRPr="00D46E48">
        <w:rPr>
          <w:bCs/>
          <w:sz w:val="24"/>
          <w:szCs w:val="24"/>
        </w:rPr>
        <w:t xml:space="preserve">40   </w:t>
      </w:r>
      <w:r>
        <w:rPr>
          <w:b/>
          <w:bCs/>
          <w:sz w:val="24"/>
          <w:szCs w:val="24"/>
        </w:rPr>
        <w:t xml:space="preserve">           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Pr="00A4164E">
              <w:t xml:space="preserve"> 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lastRenderedPageBreak/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</w:t>
      </w:r>
      <w:proofErr w:type="gramStart"/>
      <w:r w:rsidRPr="007C3D05">
        <w:rPr>
          <w:rFonts w:ascii="Times New Roman" w:hAnsi="Times New Roman"/>
          <w:sz w:val="28"/>
        </w:rPr>
        <w:t>может</w:t>
      </w:r>
      <w:proofErr w:type="gramEnd"/>
      <w:r w:rsidRPr="007C3D05">
        <w:rPr>
          <w:rFonts w:ascii="Times New Roman" w:hAnsi="Times New Roman"/>
          <w:sz w:val="28"/>
        </w:rPr>
        <w:t xml:space="preserve">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1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sz w:val="28"/>
        </w:rPr>
        <w:t xml:space="preserve"> 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2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lastRenderedPageBreak/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</w:t>
      </w:r>
      <w:r w:rsidR="00837FBD">
        <w:rPr>
          <w:szCs w:val="28"/>
        </w:rPr>
        <w:t>к</w:t>
      </w:r>
      <w:r w:rsidR="00837FBD">
        <w:rPr>
          <w:szCs w:val="28"/>
        </w:rPr>
        <w:t>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>Устав Белгородской области: Закон Белгородской области от 31 д</w:t>
      </w:r>
      <w:r w:rsidRPr="007C3D05">
        <w:t>е</w:t>
      </w:r>
      <w:r w:rsidRPr="007C3D05">
        <w:t xml:space="preserve">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</w:t>
      </w:r>
      <w:r w:rsidRPr="007C3D05">
        <w:t>з</w:t>
      </w:r>
      <w:r w:rsidRPr="007C3D05">
        <w:t>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>Федеральный арбитражный суд Поволжского округа. Постановление касс</w:t>
      </w:r>
      <w:r w:rsidR="007E3CF6" w:rsidRPr="0023594A">
        <w:rPr>
          <w:sz w:val="28"/>
          <w:szCs w:val="28"/>
        </w:rPr>
        <w:t>а</w:t>
      </w:r>
      <w:r w:rsidR="007E3CF6" w:rsidRPr="0023594A">
        <w:rPr>
          <w:sz w:val="28"/>
          <w:szCs w:val="28"/>
        </w:rPr>
        <w:t>ционной инстанции по проверке законности и обоснованности решений (опр</w:t>
      </w:r>
      <w:r w:rsidR="007E3CF6" w:rsidRPr="0023594A">
        <w:rPr>
          <w:sz w:val="28"/>
          <w:szCs w:val="28"/>
        </w:rPr>
        <w:t>е</w:t>
      </w:r>
      <w:r w:rsidR="007E3CF6" w:rsidRPr="0023594A">
        <w:rPr>
          <w:sz w:val="28"/>
          <w:szCs w:val="28"/>
        </w:rPr>
        <w:t xml:space="preserve">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</w:t>
      </w:r>
      <w:proofErr w:type="gramStart"/>
      <w:r w:rsidRPr="007C3D05">
        <w:t>.</w:t>
      </w:r>
      <w:proofErr w:type="gramEnd"/>
      <w:r w:rsidRPr="007C3D05">
        <w:t xml:space="preserve"> </w:t>
      </w:r>
      <w:proofErr w:type="gramStart"/>
      <w:r w:rsidRPr="007C3D05">
        <w:t>д</w:t>
      </w:r>
      <w:proofErr w:type="gramEnd"/>
      <w:r w:rsidRPr="007C3D05">
        <w:t xml:space="preserve">ля вузов. – 2-е изд., </w:t>
      </w:r>
      <w:proofErr w:type="spellStart"/>
      <w:r w:rsidRPr="007C3D05">
        <w:t>перераб</w:t>
      </w:r>
      <w:proofErr w:type="spellEnd"/>
      <w:r w:rsidRPr="007C3D05">
        <w:t>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</w:t>
      </w:r>
      <w:r w:rsidRPr="007C3D05">
        <w:t>о</w:t>
      </w:r>
      <w:r w:rsidRPr="007C3D05">
        <w:t>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szCs w:val="26"/>
        </w:rPr>
        <w:t xml:space="preserve"> 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</w:t>
      </w:r>
      <w:r w:rsidR="003C1A0E">
        <w:rPr>
          <w:b/>
        </w:rPr>
        <w:t xml:space="preserve"> </w:t>
      </w:r>
      <w:r>
        <w:rPr>
          <w:b/>
        </w:rPr>
        <w:t>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</w:t>
      </w:r>
      <w:r w:rsidR="003C1A0E" w:rsidRPr="003C1A0E">
        <w:t xml:space="preserve"> </w:t>
      </w:r>
      <w:r w:rsidR="00D46E48">
        <w:t xml:space="preserve"> </w:t>
      </w:r>
      <w:r w:rsidR="003C1A0E">
        <w:t>Официальный сайт Верховного Суда РФ (</w:t>
      </w:r>
      <w:hyperlink r:id="rId10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</w:t>
        </w:r>
        <w:proofErr w:type="spellStart"/>
        <w:r w:rsidR="003C1A0E">
          <w:rPr>
            <w:rStyle w:val="ad"/>
            <w:b/>
          </w:rPr>
          <w:t>supcourt</w:t>
        </w:r>
        <w:proofErr w:type="spellEnd"/>
        <w:r w:rsidR="003C1A0E">
          <w:rPr>
            <w:rStyle w:val="ad"/>
            <w:b/>
          </w:rPr>
          <w:t>.</w:t>
        </w:r>
        <w:proofErr w:type="spellStart"/>
        <w:r w:rsidR="003C1A0E">
          <w:rPr>
            <w:rStyle w:val="ad"/>
            <w:b/>
            <w:lang w:val="en-US"/>
          </w:rPr>
          <w:t>ru</w:t>
        </w:r>
        <w:proofErr w:type="spellEnd"/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</w:rPr>
          <w:t>council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gov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ru</w:t>
        </w:r>
        <w:proofErr w:type="spellEnd"/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 w:rsidRPr="00D46E48">
        <w:t xml:space="preserve"> </w:t>
      </w:r>
      <w:r>
        <w:t>Официальный сайт Государственной Думы Федерального Собрания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gov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ru</w:t>
        </w:r>
        <w:proofErr w:type="spellEnd"/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3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pravitelstvo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gov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ru</w:t>
        </w:r>
        <w:proofErr w:type="spellEnd"/>
      </w:hyperlink>
      <w:r>
        <w:t>).</w:t>
      </w:r>
    </w:p>
    <w:sectPr w:rsidR="00D46E48" w:rsidRPr="009109A4" w:rsidSect="009109A4">
      <w:headerReference w:type="default" r:id="rId14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4E" w:rsidRDefault="0078514E" w:rsidP="005365AF">
      <w:r>
        <w:separator/>
      </w:r>
    </w:p>
  </w:endnote>
  <w:endnote w:type="continuationSeparator" w:id="0">
    <w:p w:rsidR="0078514E" w:rsidRDefault="0078514E" w:rsidP="005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4E" w:rsidRDefault="0078514E" w:rsidP="005365AF">
      <w:r>
        <w:separator/>
      </w:r>
    </w:p>
  </w:footnote>
  <w:footnote w:type="continuationSeparator" w:id="0">
    <w:p w:rsidR="0078514E" w:rsidRDefault="0078514E" w:rsidP="005365AF">
      <w:r>
        <w:continuationSeparator/>
      </w:r>
    </w:p>
  </w:footnote>
  <w:footnote w:id="1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sz w:val="24"/>
        </w:rPr>
        <w:t xml:space="preserve"> </w:t>
      </w:r>
      <w:r w:rsidRPr="007E3CF6">
        <w:rPr>
          <w:i/>
          <w:sz w:val="24"/>
        </w:rPr>
        <w:t xml:space="preserve"> </w:t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2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F0751F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1916C9">
          <w:rPr>
            <w:noProof/>
            <w:sz w:val="22"/>
          </w:rPr>
          <w:t>19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itelstvo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ncil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pco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nproc.gov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432</TotalTime>
  <Pages>19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User</cp:lastModifiedBy>
  <cp:revision>27</cp:revision>
  <cp:lastPrinted>2014-03-14T14:59:00Z</cp:lastPrinted>
  <dcterms:created xsi:type="dcterms:W3CDTF">2014-10-02T16:46:00Z</dcterms:created>
  <dcterms:modified xsi:type="dcterms:W3CDTF">2015-01-12T09:11:00Z</dcterms:modified>
</cp:coreProperties>
</file>